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F1" w:rsidRPr="00807BB4" w:rsidRDefault="003C05F1" w:rsidP="003C05F1">
      <w:pPr>
        <w:pStyle w:val="a7"/>
        <w:spacing w:line="276" w:lineRule="auto"/>
        <w:ind w:left="5387" w:firstLine="0"/>
        <w:rPr>
          <w:rFonts w:ascii="Times New Roman" w:hAnsi="Times New Roman" w:cs="Times New Roman"/>
          <w:b/>
          <w:sz w:val="26"/>
          <w:szCs w:val="26"/>
        </w:rPr>
      </w:pPr>
      <w:r w:rsidRPr="00807BB4">
        <w:rPr>
          <w:rFonts w:ascii="Times New Roman" w:hAnsi="Times New Roman" w:cs="Times New Roman"/>
          <w:b/>
          <w:sz w:val="26"/>
          <w:szCs w:val="26"/>
        </w:rPr>
        <w:t>Приложение 8 к Методическим рекомендациям</w:t>
      </w:r>
      <w:r>
        <w:rPr>
          <w:rFonts w:ascii="Times New Roman" w:hAnsi="Times New Roman" w:cs="Times New Roman"/>
          <w:b/>
          <w:sz w:val="26"/>
          <w:szCs w:val="26"/>
        </w:rPr>
        <w:t xml:space="preserve"> </w:t>
      </w:r>
      <w:r w:rsidRPr="006F6088">
        <w:rPr>
          <w:rFonts w:ascii="Times New Roman" w:hAnsi="Times New Roman" w:cs="Times New Roman"/>
          <w:b/>
          <w:sz w:val="28"/>
          <w:szCs w:val="28"/>
        </w:rPr>
        <w:t>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p>
    <w:p w:rsidR="003C05F1" w:rsidRDefault="003C05F1" w:rsidP="003C05F1">
      <w:pPr>
        <w:pStyle w:val="ConsPlusNonformat"/>
        <w:spacing w:line="276" w:lineRule="auto"/>
        <w:jc w:val="center"/>
        <w:rPr>
          <w:rFonts w:ascii="Times New Roman" w:hAnsi="Times New Roman" w:cs="Times New Roman"/>
          <w:b/>
          <w:sz w:val="26"/>
          <w:szCs w:val="26"/>
        </w:rPr>
      </w:pPr>
    </w:p>
    <w:p w:rsidR="003C05F1" w:rsidRPr="00807BB4" w:rsidRDefault="003C05F1" w:rsidP="003C05F1">
      <w:pPr>
        <w:pStyle w:val="ConsPlusNonformat"/>
        <w:spacing w:line="276" w:lineRule="auto"/>
        <w:jc w:val="center"/>
        <w:rPr>
          <w:rFonts w:ascii="Times New Roman" w:hAnsi="Times New Roman" w:cs="Times New Roman"/>
          <w:b/>
          <w:sz w:val="26"/>
          <w:szCs w:val="26"/>
        </w:rPr>
      </w:pPr>
    </w:p>
    <w:p w:rsidR="003C05F1" w:rsidRPr="00807BB4" w:rsidRDefault="003C05F1" w:rsidP="003C05F1">
      <w:pPr>
        <w:pStyle w:val="ConsPlusNonformat"/>
        <w:spacing w:line="276" w:lineRule="auto"/>
        <w:jc w:val="center"/>
        <w:rPr>
          <w:rFonts w:ascii="Times New Roman" w:hAnsi="Times New Roman" w:cs="Times New Roman"/>
          <w:b/>
          <w:sz w:val="26"/>
          <w:szCs w:val="26"/>
        </w:rPr>
      </w:pPr>
      <w:bookmarkStart w:id="0" w:name="_GoBack"/>
      <w:r w:rsidRPr="00807BB4">
        <w:rPr>
          <w:rFonts w:ascii="Times New Roman" w:hAnsi="Times New Roman" w:cs="Times New Roman"/>
          <w:b/>
          <w:sz w:val="26"/>
          <w:szCs w:val="26"/>
        </w:rPr>
        <w:t xml:space="preserve">Модельное положение </w:t>
      </w:r>
      <w:bookmarkEnd w:id="0"/>
      <w:r w:rsidRPr="00807BB4">
        <w:rPr>
          <w:rFonts w:ascii="Times New Roman" w:hAnsi="Times New Roman" w:cs="Times New Roman"/>
          <w:b/>
          <w:sz w:val="26"/>
          <w:szCs w:val="26"/>
        </w:rPr>
        <w:t>«О публичных слушаниях в муниципальном образовании»</w:t>
      </w:r>
    </w:p>
    <w:p w:rsidR="003C05F1" w:rsidRPr="00CF7B34" w:rsidRDefault="003C05F1" w:rsidP="003C05F1">
      <w:pPr>
        <w:spacing w:line="276" w:lineRule="auto"/>
        <w:jc w:val="center"/>
        <w:rPr>
          <w:rFonts w:ascii="Times New Roman" w:hAnsi="Times New Roman" w:cs="Times New Roman"/>
          <w:b/>
          <w:szCs w:val="26"/>
        </w:rPr>
      </w:pPr>
    </w:p>
    <w:p w:rsidR="003C05F1" w:rsidRPr="00CF7B34" w:rsidRDefault="003C05F1" w:rsidP="003C05F1">
      <w:pPr>
        <w:spacing w:line="276" w:lineRule="auto"/>
        <w:jc w:val="center"/>
        <w:rPr>
          <w:rFonts w:ascii="Times New Roman" w:hAnsi="Times New Roman" w:cs="Times New Roman"/>
          <w:szCs w:val="26"/>
        </w:rPr>
      </w:pPr>
      <w:r w:rsidRPr="00CF7B34">
        <w:rPr>
          <w:rFonts w:ascii="Times New Roman" w:hAnsi="Times New Roman" w:cs="Times New Roman"/>
          <w:szCs w:val="26"/>
        </w:rPr>
        <w:t>МОДЕЛЬНЫЙ НОРМАТИВНЫЙ ПРАВОВОЙ АКТ</w:t>
      </w:r>
      <w:r w:rsidR="00CF7B34">
        <w:rPr>
          <w:rFonts w:ascii="Times New Roman" w:hAnsi="Times New Roman" w:cs="Times New Roman"/>
          <w:szCs w:val="26"/>
        </w:rPr>
        <w:t xml:space="preserve"> </w:t>
      </w:r>
      <w:r w:rsidRPr="00CF7B34">
        <w:rPr>
          <w:rFonts w:ascii="Times New Roman" w:hAnsi="Times New Roman" w:cs="Times New Roman"/>
          <w:szCs w:val="26"/>
        </w:rPr>
        <w:t>О ПУБЛИЧНЫХ СЛУШАНИЯХ В МУНИЦИПАЛЬНОМ ОБРАЗОВАНИИ</w:t>
      </w:r>
    </w:p>
    <w:p w:rsidR="003C05F1" w:rsidRPr="00807BB4" w:rsidRDefault="003C05F1" w:rsidP="003C05F1">
      <w:pPr>
        <w:spacing w:line="276" w:lineRule="auto"/>
        <w:jc w:val="center"/>
        <w:rPr>
          <w:szCs w:val="26"/>
        </w:rPr>
      </w:pPr>
    </w:p>
    <w:p w:rsidR="003C05F1" w:rsidRPr="00807BB4" w:rsidRDefault="003C05F1" w:rsidP="003C05F1">
      <w:pPr>
        <w:pStyle w:val="a6"/>
        <w:spacing w:before="0" w:beforeAutospacing="0" w:after="0" w:line="276" w:lineRule="auto"/>
        <w:rPr>
          <w:bCs/>
          <w:sz w:val="26"/>
          <w:szCs w:val="26"/>
        </w:rPr>
      </w:pPr>
      <w:r w:rsidRPr="00807BB4">
        <w:rPr>
          <w:b/>
          <w:bCs/>
          <w:sz w:val="26"/>
          <w:szCs w:val="26"/>
        </w:rPr>
        <w:t xml:space="preserve">Статья 1. </w:t>
      </w:r>
      <w:r w:rsidRPr="00807BB4">
        <w:rPr>
          <w:bCs/>
          <w:sz w:val="26"/>
          <w:szCs w:val="26"/>
        </w:rPr>
        <w:t>Основные понятия</w:t>
      </w:r>
    </w:p>
    <w:p w:rsidR="003C05F1" w:rsidRPr="00807BB4" w:rsidRDefault="003C05F1" w:rsidP="003C05F1">
      <w:pPr>
        <w:pStyle w:val="a6"/>
        <w:spacing w:before="0" w:beforeAutospacing="0" w:after="0" w:line="276" w:lineRule="auto"/>
        <w:rPr>
          <w:bCs/>
          <w:sz w:val="26"/>
          <w:szCs w:val="26"/>
        </w:rPr>
      </w:pPr>
    </w:p>
    <w:p w:rsidR="003C05F1" w:rsidRPr="00807BB4" w:rsidRDefault="003C05F1" w:rsidP="003C05F1">
      <w:pPr>
        <w:pStyle w:val="ConsPlusNormal"/>
        <w:widowControl/>
        <w:tabs>
          <w:tab w:val="left" w:pos="0"/>
        </w:tabs>
        <w:spacing w:line="276" w:lineRule="auto"/>
        <w:ind w:firstLine="0"/>
        <w:jc w:val="both"/>
        <w:rPr>
          <w:rFonts w:ascii="Times New Roman" w:hAnsi="Times New Roman" w:cs="Times New Roman"/>
          <w:sz w:val="26"/>
          <w:szCs w:val="26"/>
        </w:rPr>
      </w:pPr>
      <w:r w:rsidRPr="00807BB4">
        <w:rPr>
          <w:rFonts w:ascii="Times New Roman" w:hAnsi="Times New Roman" w:cs="Times New Roman"/>
          <w:sz w:val="26"/>
          <w:szCs w:val="26"/>
        </w:rPr>
        <w:t>Для целей настоящего Положения используются следующие основные понятия: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lastRenderedPageBreak/>
        <w:t>5) инициатор публичных слушаний – органы местного самоуправления, а также инициативная группа совершеннолетних граждан, численностью не менее 10 человек</w:t>
      </w:r>
      <w:r w:rsidRPr="00807BB4">
        <w:rPr>
          <w:rStyle w:val="a5"/>
          <w:rFonts w:ascii="Times New Roman" w:hAnsi="Times New Roman"/>
          <w:sz w:val="26"/>
          <w:szCs w:val="26"/>
        </w:rPr>
        <w:footnoteReference w:id="1"/>
      </w:r>
      <w:r w:rsidRPr="00807BB4">
        <w:rPr>
          <w:rFonts w:ascii="Times New Roman" w:hAnsi="Times New Roman" w:cs="Times New Roman"/>
          <w:sz w:val="26"/>
          <w:szCs w:val="26"/>
        </w:rPr>
        <w:t xml:space="preserve">, выступившая с инициативой проведения публичных слушаний;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a6"/>
        <w:spacing w:before="0" w:beforeAutospacing="0" w:after="0" w:line="276" w:lineRule="auto"/>
        <w:rPr>
          <w:bCs/>
          <w:sz w:val="26"/>
          <w:szCs w:val="26"/>
        </w:rPr>
      </w:pPr>
      <w:r w:rsidRPr="00807BB4">
        <w:rPr>
          <w:b/>
          <w:bCs/>
          <w:sz w:val="26"/>
          <w:szCs w:val="26"/>
        </w:rPr>
        <w:t xml:space="preserve">Статья 2. </w:t>
      </w:r>
      <w:r w:rsidRPr="00807BB4">
        <w:rPr>
          <w:bCs/>
          <w:sz w:val="26"/>
          <w:szCs w:val="26"/>
        </w:rPr>
        <w:t>Цели и принципы организации и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Основными целями организации и проведения публичных слушаний являются: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обсуждение проектов муниципальных правовых актов с участием населения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выявление и учет общественного мнения и мнения экспертов по выносимому на публичные слушания вопросу местного значения;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развитие диалоговых механизмов органов власти и населения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поиск приемлемых альтернатив решения важнейших вопросов местного значения района;</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выработка предложений и рекомендаций по обсуждаемой проблеме.</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a6"/>
        <w:spacing w:before="0" w:beforeAutospacing="0" w:after="0" w:line="276" w:lineRule="auto"/>
        <w:rPr>
          <w:b/>
          <w:bCs/>
          <w:sz w:val="26"/>
          <w:szCs w:val="26"/>
        </w:rPr>
      </w:pPr>
      <w:r w:rsidRPr="00807BB4">
        <w:rPr>
          <w:b/>
          <w:bCs/>
          <w:sz w:val="26"/>
          <w:szCs w:val="26"/>
        </w:rPr>
        <w:t xml:space="preserve">Статья 3. </w:t>
      </w:r>
      <w:r w:rsidRPr="00807BB4">
        <w:rPr>
          <w:bCs/>
          <w:sz w:val="26"/>
          <w:szCs w:val="26"/>
        </w:rPr>
        <w:t>Вопросы, выносимые на публичные слушания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В обязательном порядке на публичные слушания выносятся: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проект бюджета муниципального образования и отчет о его исполнении;</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проекты планов и программ развития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lastRenderedPageBreak/>
        <w:t xml:space="preserve">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проект генерального плана, проекты внесения изменений в генеральный план;</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вопросы о преобразовании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вопросы, по которым проводилась общественная экспертиза;</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8) иные вопросы по решению органов местного самоуправления.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4.</w:t>
      </w:r>
      <w:r w:rsidRPr="00807BB4">
        <w:rPr>
          <w:rFonts w:ascii="Times New Roman" w:hAnsi="Times New Roman" w:cs="Times New Roman"/>
          <w:sz w:val="26"/>
          <w:szCs w:val="26"/>
        </w:rPr>
        <w:t xml:space="preserve"> Инициатива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проводятся по инициативе населения муниципального образования или органов местного самоуправления.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w:t>
      </w:r>
      <w:r w:rsidRPr="00807BB4">
        <w:rPr>
          <w:rFonts w:ascii="Times New Roman" w:hAnsi="Times New Roman" w:cs="Times New Roman"/>
          <w:sz w:val="26"/>
          <w:szCs w:val="26"/>
        </w:rPr>
        <w:footnoteReference w:id="2"/>
      </w:r>
      <w:r w:rsidRPr="00807BB4">
        <w:rPr>
          <w:rFonts w:ascii="Times New Roman" w:hAnsi="Times New Roman" w:cs="Times New Roman"/>
          <w:sz w:val="26"/>
          <w:szCs w:val="26"/>
        </w:rPr>
        <w:t xml:space="preserve">,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w:t>
      </w:r>
      <w:r w:rsidRPr="00807BB4">
        <w:rPr>
          <w:rStyle w:val="a5"/>
          <w:rFonts w:ascii="Times New Roman" w:hAnsi="Times New Roman"/>
          <w:sz w:val="26"/>
          <w:szCs w:val="26"/>
        </w:rPr>
        <w:footnoteReference w:id="3"/>
      </w:r>
      <w:r w:rsidRPr="00807BB4">
        <w:rPr>
          <w:rFonts w:ascii="Times New Roman" w:hAnsi="Times New Roman" w:cs="Times New Roman"/>
          <w:sz w:val="26"/>
          <w:szCs w:val="26"/>
        </w:rPr>
        <w:t>. Подписи должны быть собраны в срок, не превышающий 20 дней с момента подписания протокола о создании инициативной группы</w:t>
      </w:r>
      <w:r w:rsidRPr="00807BB4">
        <w:rPr>
          <w:rStyle w:val="a5"/>
          <w:rFonts w:ascii="Times New Roman" w:hAnsi="Times New Roman"/>
          <w:sz w:val="26"/>
          <w:szCs w:val="26"/>
        </w:rPr>
        <w:footnoteReference w:id="4"/>
      </w:r>
      <w:r w:rsidRPr="00807BB4">
        <w:rPr>
          <w:rFonts w:ascii="Times New Roman" w:hAnsi="Times New Roman" w:cs="Times New Roman"/>
          <w:sz w:val="26"/>
          <w:szCs w:val="26"/>
        </w:rPr>
        <w:t xml:space="preserve">.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lastRenderedPageBreak/>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протокол о создании инициативной группы граждан;</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подписи жителей в поддержку инициативы проведения публичных слушаний, оформленные в виде подписных листов.</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Представительный орган рассматривает поданные инициативной группой документы в течение 30 дней со дня их поступления.</w:t>
      </w:r>
      <w:r w:rsidRPr="00807BB4">
        <w:rPr>
          <w:rStyle w:val="a5"/>
          <w:rFonts w:ascii="Times New Roman" w:hAnsi="Times New Roman"/>
          <w:sz w:val="26"/>
          <w:szCs w:val="26"/>
        </w:rPr>
        <w:footnoteReference w:id="5"/>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w:t>
      </w:r>
      <w:r w:rsidRPr="00807BB4">
        <w:rPr>
          <w:rStyle w:val="a5"/>
          <w:rFonts w:ascii="Times New Roman" w:hAnsi="Times New Roman"/>
          <w:sz w:val="26"/>
          <w:szCs w:val="26"/>
        </w:rPr>
        <w:footnoteReference w:id="6"/>
      </w:r>
      <w:r w:rsidRPr="00807BB4">
        <w:rPr>
          <w:rFonts w:ascii="Times New Roman" w:hAnsi="Times New Roman" w:cs="Times New Roman"/>
          <w:sz w:val="26"/>
          <w:szCs w:val="26"/>
        </w:rPr>
        <w:t xml:space="preserve"> В этом случае слушания по данному вопросу местного значения назначаются представительным органом в обязательном порядке.</w:t>
      </w:r>
    </w:p>
    <w:p w:rsidR="003C05F1" w:rsidRPr="00807BB4" w:rsidRDefault="003C05F1" w:rsidP="003C05F1">
      <w:pPr>
        <w:pStyle w:val="ConsPlusNormal"/>
        <w:widowControl/>
        <w:spacing w:line="276" w:lineRule="auto"/>
        <w:ind w:firstLine="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5.</w:t>
      </w:r>
      <w:r w:rsidRPr="00807BB4">
        <w:rPr>
          <w:rFonts w:ascii="Times New Roman" w:hAnsi="Times New Roman" w:cs="Times New Roman"/>
          <w:sz w:val="26"/>
          <w:szCs w:val="26"/>
        </w:rPr>
        <w:t xml:space="preserve"> Порядок назначения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r w:rsidRPr="00807BB4">
        <w:rPr>
          <w:rStyle w:val="a5"/>
          <w:rFonts w:ascii="Times New Roman" w:hAnsi="Times New Roman"/>
          <w:sz w:val="26"/>
          <w:szCs w:val="26"/>
        </w:rPr>
        <w:footnoteReference w:id="7"/>
      </w:r>
      <w:r w:rsidRPr="00807BB4">
        <w:rPr>
          <w:rFonts w:ascii="Times New Roman" w:hAnsi="Times New Roman" w:cs="Times New Roman"/>
          <w:sz w:val="26"/>
          <w:szCs w:val="26"/>
        </w:rPr>
        <w:t xml:space="preserve">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В решении (постановлении) о назначении публичных слушаний указываются: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тема публичных слушаний (вопросы, наименование проекта муниципального правового акта, выносимые на публичные слушания);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инициатор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дата и время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место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w:t>
      </w:r>
      <w:r w:rsidRPr="00807BB4">
        <w:rPr>
          <w:rFonts w:ascii="Times New Roman" w:hAnsi="Times New Roman" w:cs="Times New Roman"/>
          <w:sz w:val="26"/>
          <w:szCs w:val="26"/>
        </w:rPr>
        <w:lastRenderedPageBreak/>
        <w:t>нормативных правовых актов и иной официальной информации, а также на официальных сайтах органов местного самоуправления в сети Интернет.</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6.</w:t>
      </w:r>
      <w:r w:rsidRPr="00807BB4">
        <w:rPr>
          <w:rFonts w:ascii="Times New Roman" w:hAnsi="Times New Roman" w:cs="Times New Roman"/>
          <w:sz w:val="26"/>
          <w:szCs w:val="26"/>
        </w:rPr>
        <w:t xml:space="preserve"> Порядок организации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3-7 человек</w:t>
      </w:r>
      <w:r w:rsidRPr="00807BB4">
        <w:rPr>
          <w:rStyle w:val="a5"/>
          <w:rFonts w:ascii="Times New Roman" w:hAnsi="Times New Roman"/>
          <w:sz w:val="26"/>
          <w:szCs w:val="26"/>
        </w:rPr>
        <w:footnoteReference w:id="8"/>
      </w:r>
      <w:r w:rsidRPr="00807BB4">
        <w:rPr>
          <w:rFonts w:ascii="Times New Roman" w:hAnsi="Times New Roman" w:cs="Times New Roman"/>
          <w:sz w:val="26"/>
          <w:szCs w:val="26"/>
        </w:rPr>
        <w: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В случае назначения публичных слушаний по инициативе населения, представители инициативной группы имеют право </w:t>
      </w:r>
      <w:proofErr w:type="gramStart"/>
      <w:r w:rsidRPr="00807BB4">
        <w:rPr>
          <w:rFonts w:ascii="Times New Roman" w:hAnsi="Times New Roman" w:cs="Times New Roman"/>
          <w:sz w:val="26"/>
          <w:szCs w:val="26"/>
        </w:rPr>
        <w:t>непосредственно  присутствовать</w:t>
      </w:r>
      <w:proofErr w:type="gramEnd"/>
      <w:r w:rsidRPr="00807BB4">
        <w:rPr>
          <w:rFonts w:ascii="Times New Roman" w:hAnsi="Times New Roman" w:cs="Times New Roman"/>
          <w:sz w:val="26"/>
          <w:szCs w:val="26"/>
        </w:rPr>
        <w:t xml:space="preserve">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w:t>
      </w:r>
      <w:r w:rsidRPr="00807BB4">
        <w:rPr>
          <w:rStyle w:val="a5"/>
          <w:rFonts w:ascii="Times New Roman" w:hAnsi="Times New Roman"/>
          <w:sz w:val="26"/>
          <w:szCs w:val="26"/>
        </w:rPr>
        <w:footnoteReference w:id="9"/>
      </w:r>
      <w:r w:rsidRPr="00807BB4">
        <w:rPr>
          <w:rFonts w:ascii="Times New Roman" w:hAnsi="Times New Roman" w:cs="Times New Roman"/>
          <w:sz w:val="26"/>
          <w:szCs w:val="26"/>
        </w:rPr>
        <w:t xml:space="preserve">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Организационный комитет в рамках своей работы</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lastRenderedPageBreak/>
        <w:t xml:space="preserve">- запрашивает у органов местного самоуправления информацию и документацию, относящуюся к вопросам, выносимым на публичные слушания;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регистрирует участников публичных слушаний, принимает от граждан и экспертов заявки на выступления в рамках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организует проведение голосования участников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устанавливает результаты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7.</w:t>
      </w:r>
      <w:r w:rsidRPr="00807BB4">
        <w:rPr>
          <w:rFonts w:ascii="Times New Roman" w:hAnsi="Times New Roman" w:cs="Times New Roman"/>
          <w:sz w:val="26"/>
          <w:szCs w:val="26"/>
        </w:rPr>
        <w:t xml:space="preserve"> Порядок проведения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 Публичные слушания проводятся в удобное для жителей муниципального образования время.</w:t>
      </w:r>
      <w:r w:rsidRPr="00807BB4">
        <w:rPr>
          <w:rStyle w:val="a5"/>
          <w:rFonts w:ascii="Times New Roman" w:hAnsi="Times New Roman"/>
          <w:sz w:val="26"/>
          <w:szCs w:val="26"/>
        </w:rPr>
        <w:footnoteReference w:id="10"/>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w:t>
      </w:r>
      <w:r w:rsidRPr="00807BB4">
        <w:rPr>
          <w:rFonts w:ascii="Times New Roman" w:hAnsi="Times New Roman" w:cs="Times New Roman"/>
          <w:sz w:val="26"/>
          <w:szCs w:val="26"/>
        </w:rPr>
        <w:lastRenderedPageBreak/>
        <w:t>зале, где будут проводиться слушания, в первую очередь размещаются лица, записавшиеся на выступление.</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3. За один час</w:t>
      </w:r>
      <w:r w:rsidRPr="00807BB4">
        <w:rPr>
          <w:rStyle w:val="a5"/>
          <w:rFonts w:ascii="Times New Roman" w:hAnsi="Times New Roman"/>
          <w:sz w:val="26"/>
          <w:szCs w:val="26"/>
        </w:rPr>
        <w:footnoteReference w:id="11"/>
      </w:r>
      <w:r w:rsidRPr="00807BB4">
        <w:rPr>
          <w:rFonts w:ascii="Times New Roman" w:hAnsi="Times New Roman" w:cs="Times New Roman"/>
          <w:sz w:val="26"/>
          <w:szCs w:val="26"/>
        </w:rPr>
        <w:t xml:space="preserve">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w:t>
      </w:r>
      <w:r w:rsidRPr="00807BB4">
        <w:rPr>
          <w:rStyle w:val="a5"/>
          <w:rFonts w:ascii="Times New Roman" w:hAnsi="Times New Roman"/>
          <w:sz w:val="26"/>
          <w:szCs w:val="26"/>
        </w:rPr>
        <w:footnoteReference w:id="12"/>
      </w:r>
      <w:r w:rsidRPr="00807BB4">
        <w:rPr>
          <w:rFonts w:ascii="Times New Roman" w:hAnsi="Times New Roman" w:cs="Times New Roman"/>
          <w:sz w:val="26"/>
          <w:szCs w:val="26"/>
        </w:rPr>
        <w:t>В случае отсутствия эксперта председательствующий зачитывает рекомендации и предложения отсутствующего эксперта.</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7. Председательствующий вправе в любой момент объявить перерыв в публичных слушаниях с указанием времени перерыва.</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w:t>
      </w:r>
      <w:r w:rsidRPr="00807BB4">
        <w:rPr>
          <w:rFonts w:ascii="Times New Roman" w:hAnsi="Times New Roman" w:cs="Times New Roman"/>
          <w:sz w:val="26"/>
          <w:szCs w:val="26"/>
        </w:rPr>
        <w:lastRenderedPageBreak/>
        <w:t xml:space="preserve">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12. Организационный комитет в течение 7 дней</w:t>
      </w:r>
      <w:r w:rsidRPr="00807BB4">
        <w:rPr>
          <w:rStyle w:val="a5"/>
          <w:rFonts w:ascii="Times New Roman" w:hAnsi="Times New Roman"/>
          <w:sz w:val="26"/>
          <w:szCs w:val="26"/>
        </w:rPr>
        <w:footnoteReference w:id="13"/>
      </w:r>
      <w:r w:rsidRPr="00807BB4">
        <w:rPr>
          <w:rFonts w:ascii="Times New Roman" w:hAnsi="Times New Roman" w:cs="Times New Roman"/>
          <w:sz w:val="26"/>
          <w:szCs w:val="26"/>
        </w:rPr>
        <w:t xml:space="preserve">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8.</w:t>
      </w:r>
      <w:r w:rsidRPr="00807BB4">
        <w:rPr>
          <w:rFonts w:ascii="Times New Roman" w:hAnsi="Times New Roman" w:cs="Times New Roman"/>
          <w:sz w:val="26"/>
          <w:szCs w:val="26"/>
        </w:rPr>
        <w:t xml:space="preserve"> Результаты публичных слушаний</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b/>
          <w:sz w:val="26"/>
          <w:szCs w:val="26"/>
        </w:rPr>
        <w:t>Статья 9.</w:t>
      </w:r>
      <w:r w:rsidRPr="00807BB4">
        <w:rPr>
          <w:rFonts w:ascii="Times New Roman" w:hAnsi="Times New Roman" w:cs="Times New Roman"/>
          <w:sz w:val="26"/>
          <w:szCs w:val="26"/>
        </w:rPr>
        <w:t xml:space="preserve"> Ответственность должностных лиц за нарушение процедуры организации и проведения публичных слушаний. </w:t>
      </w:r>
    </w:p>
    <w:p w:rsidR="003C05F1" w:rsidRPr="00807BB4"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  </w:t>
      </w:r>
    </w:p>
    <w:p w:rsidR="003C05F1" w:rsidRPr="00017EC7" w:rsidRDefault="003C05F1" w:rsidP="003C05F1">
      <w:pPr>
        <w:pStyle w:val="ConsPlusNormal"/>
        <w:widowControl/>
        <w:spacing w:line="276" w:lineRule="auto"/>
        <w:ind w:firstLine="540"/>
        <w:jc w:val="both"/>
        <w:rPr>
          <w:rFonts w:ascii="Times New Roman" w:hAnsi="Times New Roman" w:cs="Times New Roman"/>
          <w:sz w:val="26"/>
          <w:szCs w:val="26"/>
        </w:rPr>
      </w:pPr>
      <w:r w:rsidRPr="00807BB4">
        <w:rPr>
          <w:rFonts w:ascii="Times New Roman" w:hAnsi="Times New Roman" w:cs="Times New Roman"/>
          <w:sz w:val="26"/>
          <w:szCs w:val="26"/>
        </w:rPr>
        <w:t xml:space="preserve">2. Публичные слушания, организованные с нарушением порядка, предусмотренного законодательством Российской федерации, в том числе и данным </w:t>
      </w:r>
      <w:r w:rsidRPr="00807BB4">
        <w:rPr>
          <w:rFonts w:ascii="Times New Roman" w:hAnsi="Times New Roman" w:cs="Times New Roman"/>
          <w:sz w:val="26"/>
          <w:szCs w:val="26"/>
        </w:rPr>
        <w:lastRenderedPageBreak/>
        <w:t>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r w:rsidRPr="00825E00">
        <w:rPr>
          <w:rFonts w:ascii="Times New Roman" w:hAnsi="Times New Roman" w:cs="Times New Roman"/>
          <w:sz w:val="26"/>
          <w:szCs w:val="26"/>
        </w:rPr>
        <w:t xml:space="preserve"> </w:t>
      </w:r>
    </w:p>
    <w:p w:rsidR="003C05F1" w:rsidRDefault="003C05F1"/>
    <w:sectPr w:rsidR="003C05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28" w:rsidRDefault="00CA7F28" w:rsidP="003C05F1">
      <w:pPr>
        <w:spacing w:after="0" w:line="240" w:lineRule="auto"/>
      </w:pPr>
      <w:r>
        <w:separator/>
      </w:r>
    </w:p>
  </w:endnote>
  <w:endnote w:type="continuationSeparator" w:id="0">
    <w:p w:rsidR="00CA7F28" w:rsidRDefault="00CA7F28" w:rsidP="003C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28" w:rsidRDefault="00CA7F28" w:rsidP="003C05F1">
      <w:pPr>
        <w:spacing w:after="0" w:line="240" w:lineRule="auto"/>
      </w:pPr>
      <w:r>
        <w:separator/>
      </w:r>
    </w:p>
  </w:footnote>
  <w:footnote w:type="continuationSeparator" w:id="0">
    <w:p w:rsidR="00CA7F28" w:rsidRDefault="00CA7F28" w:rsidP="003C05F1">
      <w:pPr>
        <w:spacing w:after="0" w:line="240" w:lineRule="auto"/>
      </w:pPr>
      <w:r>
        <w:continuationSeparator/>
      </w:r>
    </w:p>
  </w:footnote>
  <w:footnote w:id="1">
    <w:p w:rsidR="003C05F1" w:rsidRDefault="003C05F1" w:rsidP="003C05F1">
      <w:pPr>
        <w:pStyle w:val="a3"/>
      </w:pPr>
      <w:r>
        <w:rPr>
          <w:rStyle w:val="a5"/>
        </w:rPr>
        <w:footnoteRef/>
      </w:r>
      <w:r>
        <w:t xml:space="preserve"> Устанавливается с учетом специфики муниципального образования</w:t>
      </w:r>
    </w:p>
  </w:footnote>
  <w:footnote w:id="2">
    <w:p w:rsidR="003C05F1" w:rsidRDefault="003C05F1" w:rsidP="003C05F1">
      <w:pPr>
        <w:pStyle w:val="a3"/>
      </w:pPr>
      <w:r>
        <w:rPr>
          <w:rStyle w:val="a5"/>
        </w:rPr>
        <w:footnoteRef/>
      </w:r>
      <w:r>
        <w:t xml:space="preserve"> Рекомендуемая численность инициативной группы 10-20 человек, с учетом специфики муниципального образования</w:t>
      </w:r>
    </w:p>
  </w:footnote>
  <w:footnote w:id="3">
    <w:p w:rsidR="003C05F1" w:rsidRDefault="003C05F1" w:rsidP="003C05F1">
      <w:pPr>
        <w:pStyle w:val="a3"/>
      </w:pPr>
      <w:r>
        <w:rPr>
          <w:rStyle w:val="a5"/>
        </w:rPr>
        <w:footnoteRef/>
      </w:r>
      <w:r>
        <w:t xml:space="preserve"> Рекомендуемое количество подписей 100-150, с учетом специфики муниципального образования</w:t>
      </w:r>
    </w:p>
  </w:footnote>
  <w:footnote w:id="4">
    <w:p w:rsidR="003C05F1" w:rsidRDefault="003C05F1" w:rsidP="003C05F1">
      <w:pPr>
        <w:pStyle w:val="a3"/>
      </w:pPr>
      <w:r>
        <w:rPr>
          <w:rStyle w:val="a5"/>
        </w:rPr>
        <w:footnoteRef/>
      </w:r>
      <w:r>
        <w:t xml:space="preserve"> Рекомендуемый срок для сбора подписей – 20-30 дней, с учетом специфики муниципального образования</w:t>
      </w:r>
    </w:p>
  </w:footnote>
  <w:footnote w:id="5">
    <w:p w:rsidR="003C05F1" w:rsidRDefault="003C05F1" w:rsidP="003C05F1">
      <w:pPr>
        <w:pStyle w:val="a3"/>
      </w:pPr>
      <w:r>
        <w:rPr>
          <w:rStyle w:val="a5"/>
        </w:rPr>
        <w:footnoteRef/>
      </w:r>
      <w:r>
        <w:t xml:space="preserve"> Рекомендуемый срок составляет 25-30 дней</w:t>
      </w:r>
    </w:p>
  </w:footnote>
  <w:footnote w:id="6">
    <w:p w:rsidR="003C05F1" w:rsidRDefault="003C05F1" w:rsidP="003C05F1">
      <w:pPr>
        <w:pStyle w:val="a3"/>
      </w:pPr>
      <w:r>
        <w:rPr>
          <w:rStyle w:val="a5"/>
        </w:rPr>
        <w:footnoteRef/>
      </w:r>
      <w:r>
        <w:t xml:space="preserve"> Рекомендуемое количество дополнительно собираемых подписей составляет 250-300 штук</w:t>
      </w:r>
    </w:p>
  </w:footnote>
  <w:footnote w:id="7">
    <w:p w:rsidR="003C05F1" w:rsidRDefault="003C05F1" w:rsidP="003C05F1">
      <w:pPr>
        <w:pStyle w:val="a3"/>
      </w:pPr>
      <w:r>
        <w:rPr>
          <w:rStyle w:val="a5"/>
        </w:rPr>
        <w:footnoteRef/>
      </w:r>
      <w:r>
        <w:t xml:space="preserve"> Рекомендуемый срок 30-35 дней</w:t>
      </w:r>
    </w:p>
  </w:footnote>
  <w:footnote w:id="8">
    <w:p w:rsidR="003C05F1" w:rsidRDefault="003C05F1" w:rsidP="003C05F1">
      <w:pPr>
        <w:pStyle w:val="a3"/>
      </w:pPr>
      <w:r>
        <w:rPr>
          <w:rStyle w:val="a5"/>
        </w:rPr>
        <w:footnoteRef/>
      </w:r>
      <w:r>
        <w:t xml:space="preserve"> Устанавливается с учетом специфики муниципального образования</w:t>
      </w:r>
    </w:p>
  </w:footnote>
  <w:footnote w:id="9">
    <w:p w:rsidR="003C05F1" w:rsidRDefault="003C05F1" w:rsidP="003C05F1">
      <w:pPr>
        <w:pStyle w:val="a3"/>
      </w:pPr>
      <w:r>
        <w:rPr>
          <w:rStyle w:val="a5"/>
        </w:rPr>
        <w:footnoteRef/>
      </w:r>
      <w:r>
        <w:t xml:space="preserve"> Устанавливается с учетом специфики муниципального образования</w:t>
      </w:r>
    </w:p>
  </w:footnote>
  <w:footnote w:id="10">
    <w:p w:rsidR="003C05F1" w:rsidRDefault="003C05F1" w:rsidP="003C05F1">
      <w:pPr>
        <w:pStyle w:val="a3"/>
      </w:pPr>
      <w:r>
        <w:rPr>
          <w:rStyle w:val="a5"/>
        </w:rPr>
        <w:footnoteRef/>
      </w:r>
      <w:r>
        <w:t xml:space="preserve"> </w:t>
      </w:r>
      <w:r w:rsidRPr="00D14863">
        <w:rPr>
          <w:sz w:val="24"/>
          <w:szCs w:val="24"/>
        </w:rPr>
        <w:t xml:space="preserve">Рекомендуется проводить публичные слушания </w:t>
      </w:r>
      <w:r w:rsidRPr="00B834BA">
        <w:rPr>
          <w:sz w:val="24"/>
          <w:szCs w:val="24"/>
        </w:rPr>
        <w:t>по</w:t>
      </w:r>
      <w:r>
        <w:rPr>
          <w:sz w:val="24"/>
          <w:szCs w:val="24"/>
        </w:rPr>
        <w:t xml:space="preserve"> нерабочим дням с 11.00 до</w:t>
      </w:r>
      <w:r w:rsidRPr="00B834BA">
        <w:rPr>
          <w:sz w:val="24"/>
          <w:szCs w:val="24"/>
        </w:rPr>
        <w:t>18.00 часов, либо по рабочим дням начиная с 17.00 часов и за</w:t>
      </w:r>
      <w:r>
        <w:rPr>
          <w:sz w:val="24"/>
          <w:szCs w:val="24"/>
        </w:rPr>
        <w:t>канчивая не позднее 22.00 часов.</w:t>
      </w:r>
    </w:p>
  </w:footnote>
  <w:footnote w:id="11">
    <w:p w:rsidR="003C05F1" w:rsidRDefault="003C05F1" w:rsidP="003C05F1">
      <w:pPr>
        <w:pStyle w:val="a3"/>
      </w:pPr>
      <w:r>
        <w:rPr>
          <w:rStyle w:val="a5"/>
        </w:rPr>
        <w:footnoteRef/>
      </w:r>
      <w:r>
        <w:t xml:space="preserve"> </w:t>
      </w:r>
      <w:r w:rsidRPr="00D14863">
        <w:rPr>
          <w:sz w:val="24"/>
          <w:szCs w:val="24"/>
        </w:rPr>
        <w:t>Возможно установление менее продолжительного периода с учетом специфики муниципального образования</w:t>
      </w:r>
      <w:r>
        <w:rPr>
          <w:sz w:val="24"/>
          <w:szCs w:val="24"/>
        </w:rPr>
        <w:t>.</w:t>
      </w:r>
    </w:p>
  </w:footnote>
  <w:footnote w:id="12">
    <w:p w:rsidR="003C05F1" w:rsidRDefault="003C05F1" w:rsidP="003C05F1">
      <w:pPr>
        <w:pStyle w:val="a3"/>
      </w:pPr>
      <w:r w:rsidRPr="00D14863">
        <w:rPr>
          <w:sz w:val="24"/>
          <w:szCs w:val="24"/>
        </w:rPr>
        <w:footnoteRef/>
      </w:r>
      <w:r w:rsidRPr="00D14863">
        <w:rPr>
          <w:sz w:val="24"/>
          <w:szCs w:val="24"/>
        </w:rPr>
        <w:t xml:space="preserve"> </w:t>
      </w:r>
      <w:r w:rsidRPr="0033468E">
        <w:rPr>
          <w:sz w:val="24"/>
          <w:szCs w:val="24"/>
        </w:rPr>
        <w:t xml:space="preserve">На выступления эксперта </w:t>
      </w:r>
      <w:r>
        <w:rPr>
          <w:sz w:val="24"/>
          <w:szCs w:val="24"/>
        </w:rPr>
        <w:t>рекомендуется отводить</w:t>
      </w:r>
      <w:r w:rsidRPr="0033468E">
        <w:rPr>
          <w:sz w:val="24"/>
          <w:szCs w:val="24"/>
        </w:rPr>
        <w:t xml:space="preserve"> до 15 минут и </w:t>
      </w:r>
      <w:r>
        <w:rPr>
          <w:sz w:val="24"/>
          <w:szCs w:val="24"/>
        </w:rPr>
        <w:t xml:space="preserve">до </w:t>
      </w:r>
      <w:r w:rsidRPr="0033468E">
        <w:rPr>
          <w:sz w:val="24"/>
          <w:szCs w:val="24"/>
        </w:rPr>
        <w:t>20 минут на вопросы выступающему.</w:t>
      </w:r>
    </w:p>
  </w:footnote>
  <w:footnote w:id="13">
    <w:p w:rsidR="003C05F1" w:rsidRDefault="003C05F1" w:rsidP="003C05F1">
      <w:pPr>
        <w:pStyle w:val="a3"/>
      </w:pPr>
      <w:r>
        <w:rPr>
          <w:rStyle w:val="a5"/>
        </w:rPr>
        <w:footnoteRef/>
      </w:r>
      <w:r>
        <w:t xml:space="preserve"> Устанавливается с учетом специфики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F1"/>
    <w:rsid w:val="00056334"/>
    <w:rsid w:val="003C05F1"/>
    <w:rsid w:val="00563563"/>
    <w:rsid w:val="00CA7F28"/>
    <w:rsid w:val="00CF7B34"/>
    <w:rsid w:val="00DD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8128-0550-404A-813A-E1030414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05F1"/>
    <w:pPr>
      <w:autoSpaceDE w:val="0"/>
      <w:autoSpaceDN w:val="0"/>
      <w:adjustRightInd w:val="0"/>
      <w:spacing w:after="0" w:line="240" w:lineRule="auto"/>
    </w:pPr>
    <w:rPr>
      <w:rFonts w:ascii="Courier New" w:eastAsia="Calibri" w:hAnsi="Courier New" w:cs="Courier New"/>
      <w:sz w:val="20"/>
      <w:szCs w:val="20"/>
    </w:rPr>
  </w:style>
  <w:style w:type="paragraph" w:styleId="a3">
    <w:name w:val="footnote text"/>
    <w:aliases w:val="Table_Footnote_last,Текст сноски-FN"/>
    <w:basedOn w:val="a"/>
    <w:link w:val="a4"/>
    <w:rsid w:val="003C05F1"/>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Table_Footnote_last Знак,Текст сноски-FN Знак"/>
    <w:basedOn w:val="a0"/>
    <w:link w:val="a3"/>
    <w:rsid w:val="003C05F1"/>
    <w:rPr>
      <w:rFonts w:ascii="Times New Roman" w:eastAsia="Times New Roman" w:hAnsi="Times New Roman" w:cs="Times New Roman"/>
      <w:sz w:val="20"/>
      <w:szCs w:val="20"/>
      <w:lang w:eastAsia="ru-RU"/>
    </w:rPr>
  </w:style>
  <w:style w:type="character" w:styleId="a5">
    <w:name w:val="footnote reference"/>
    <w:rsid w:val="003C05F1"/>
    <w:rPr>
      <w:rFonts w:cs="Times New Roman"/>
      <w:vertAlign w:val="superscript"/>
    </w:rPr>
  </w:style>
  <w:style w:type="paragraph" w:styleId="a6">
    <w:name w:val="Normal (Web)"/>
    <w:basedOn w:val="a"/>
    <w:rsid w:val="003C05F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05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1"/>
    <w:semiHidden/>
    <w:rsid w:val="003C05F1"/>
    <w:pPr>
      <w:spacing w:after="0" w:line="240" w:lineRule="auto"/>
      <w:ind w:firstLine="709"/>
      <w:jc w:val="both"/>
    </w:pPr>
    <w:rPr>
      <w:rFonts w:ascii="Tahoma" w:eastAsia="Times New Roman" w:hAnsi="Tahoma" w:cs="Tahoma"/>
      <w:sz w:val="16"/>
      <w:szCs w:val="16"/>
      <w:lang w:eastAsia="ru-RU"/>
    </w:rPr>
  </w:style>
  <w:style w:type="character" w:customStyle="1" w:styleId="a8">
    <w:name w:val="Текст выноски Знак"/>
    <w:basedOn w:val="a0"/>
    <w:uiPriority w:val="99"/>
    <w:semiHidden/>
    <w:rsid w:val="003C05F1"/>
    <w:rPr>
      <w:rFonts w:ascii="Segoe UI" w:hAnsi="Segoe UI" w:cs="Segoe UI"/>
      <w:sz w:val="18"/>
      <w:szCs w:val="18"/>
    </w:rPr>
  </w:style>
  <w:style w:type="character" w:customStyle="1" w:styleId="1">
    <w:name w:val="Текст выноски Знак1"/>
    <w:link w:val="a7"/>
    <w:semiHidden/>
    <w:locked/>
    <w:rsid w:val="003C05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 Роман Владимирович</dc:creator>
  <cp:keywords/>
  <dc:description/>
  <cp:lastModifiedBy>Галина Миронова</cp:lastModifiedBy>
  <cp:revision>2</cp:revision>
  <dcterms:created xsi:type="dcterms:W3CDTF">2018-04-04T11:19:00Z</dcterms:created>
  <dcterms:modified xsi:type="dcterms:W3CDTF">2018-04-04T11:19:00Z</dcterms:modified>
</cp:coreProperties>
</file>